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BCB" w:rsidRDefault="00ED6BCB" w:rsidP="00ED6BCB">
      <w:pPr>
        <w:spacing w:line="276" w:lineRule="auto"/>
        <w:jc w:val="center"/>
        <w:rPr>
          <w:rFonts w:ascii="Tahoma" w:hAnsi="Tahoma" w:cs="Tahoma"/>
          <w:b/>
          <w:bCs/>
        </w:rPr>
      </w:pPr>
      <w:r w:rsidRPr="00042E41">
        <w:rPr>
          <w:rFonts w:ascii="Tahoma" w:hAnsi="Tahoma" w:cs="Tahoma"/>
          <w:b/>
          <w:bCs/>
          <w:sz w:val="32"/>
          <w:szCs w:val="32"/>
        </w:rPr>
        <w:t>DU STATUT D’OPÉRATEUR ÉCONOMIQUE AGRÉÉ</w:t>
      </w:r>
      <w:r w:rsidRPr="00042E41">
        <w:rPr>
          <w:rFonts w:ascii="Tahoma" w:hAnsi="Tahoma" w:cs="Tahoma"/>
          <w:b/>
          <w:bCs/>
        </w:rPr>
        <w:t xml:space="preserve"> </w:t>
      </w:r>
    </w:p>
    <w:p w:rsidR="00ED6BCB" w:rsidRPr="00042E41" w:rsidRDefault="00ED6BCB" w:rsidP="00ED6BCB">
      <w:pPr>
        <w:spacing w:line="276" w:lineRule="auto"/>
        <w:jc w:val="center"/>
        <w:rPr>
          <w:rFonts w:ascii="Tahoma" w:hAnsi="Tahoma" w:cs="Tahoma"/>
          <w:sz w:val="36"/>
          <w:szCs w:val="36"/>
        </w:rPr>
      </w:pPr>
      <w:r w:rsidRPr="00042E41">
        <w:rPr>
          <w:rFonts w:ascii="Tahoma" w:hAnsi="Tahoma" w:cs="Tahoma"/>
          <w:b/>
          <w:bCs/>
          <w:sz w:val="36"/>
          <w:szCs w:val="36"/>
        </w:rPr>
        <w:t>(OEA)</w:t>
      </w:r>
    </w:p>
    <w:p w:rsidR="00ED6BCB" w:rsidRPr="005134C5" w:rsidRDefault="00ED6BCB" w:rsidP="00ED6BCB">
      <w:pPr>
        <w:spacing w:line="276" w:lineRule="auto"/>
        <w:jc w:val="both"/>
        <w:rPr>
          <w:rFonts w:ascii="Tahoma" w:hAnsi="Tahoma" w:cs="Tahoma"/>
          <w:b/>
          <w:bCs/>
          <w:u w:val="single"/>
        </w:rPr>
      </w:pPr>
    </w:p>
    <w:p w:rsidR="00ED6BCB" w:rsidRPr="00F56D8E" w:rsidRDefault="00ED6BCB" w:rsidP="00ED6BCB">
      <w:pPr>
        <w:spacing w:line="276" w:lineRule="auto"/>
        <w:jc w:val="both"/>
        <w:rPr>
          <w:rFonts w:ascii="Tahoma" w:eastAsia="Tahoma" w:hAnsi="Tahoma" w:cs="Tahoma"/>
        </w:rPr>
      </w:pPr>
      <w:r w:rsidRPr="005134C5">
        <w:rPr>
          <w:rFonts w:ascii="Tahoma" w:hAnsi="Tahoma" w:cs="Tahoma"/>
        </w:rPr>
        <w:t>Dans le cadre de la poursuite de la politique de facilitation et de sécurisation des échanges, il est institué par décision n° 02705/MEFP/DGD du 27 mars 2024, le statut d’Opérateur économique agréé (OEA) qui remplace le Programme de Partenaires privilégiés (PPP)</w:t>
      </w:r>
      <w:r>
        <w:rPr>
          <w:rFonts w:ascii="Tahoma" w:hAnsi="Tahoma" w:cs="Tahoma"/>
        </w:rPr>
        <w:t xml:space="preserve"> </w:t>
      </w:r>
      <w:r w:rsidRPr="005134C5">
        <w:rPr>
          <w:rFonts w:ascii="Tahoma" w:hAnsi="Tahoma" w:cs="Tahoma"/>
        </w:rPr>
        <w:t>le Programme de Partenaires privilégiés (PPP)</w:t>
      </w:r>
      <w:r>
        <w:rPr>
          <w:rFonts w:ascii="Tahoma" w:hAnsi="Tahoma" w:cs="Tahoma"/>
        </w:rPr>
        <w:t xml:space="preserve"> </w:t>
      </w:r>
      <w:r w:rsidRPr="00675E8F">
        <w:rPr>
          <w:rFonts w:ascii="Tahoma" w:eastAsia="Tahoma" w:hAnsi="Tahoma" w:cs="Tahoma"/>
        </w:rPr>
        <w:t xml:space="preserve">a été institué par </w:t>
      </w:r>
      <w:r w:rsidRPr="00F56D8E">
        <w:rPr>
          <w:rFonts w:ascii="Tahoma" w:eastAsia="Tahoma" w:hAnsi="Tahoma" w:cs="Tahoma"/>
        </w:rPr>
        <w:t xml:space="preserve">décision n° 381DGD/DFPE/BREP du 17 juin 2011. </w:t>
      </w:r>
    </w:p>
    <w:p w:rsidR="00ED6BCB" w:rsidRPr="00F56D8E" w:rsidRDefault="00ED6BCB" w:rsidP="00ED6BCB">
      <w:pPr>
        <w:spacing w:line="276" w:lineRule="auto"/>
        <w:jc w:val="both"/>
        <w:rPr>
          <w:rFonts w:ascii="Tahoma" w:eastAsia="Tahoma" w:hAnsi="Tahoma" w:cs="Tahoma"/>
        </w:rPr>
      </w:pPr>
      <w:r w:rsidRPr="006B0D3E">
        <w:rPr>
          <w:rFonts w:ascii="Tahoma" w:eastAsia="Tahoma" w:hAnsi="Tahoma" w:cs="Tahoma"/>
        </w:rPr>
        <w:t>Le Cadre de Normes Safe prévoyait déjà en 2005</w:t>
      </w:r>
      <w:r w:rsidRPr="00F56D8E">
        <w:rPr>
          <w:rFonts w:ascii="Tahoma" w:eastAsia="Tahoma" w:hAnsi="Tahoma" w:cs="Tahoma"/>
        </w:rPr>
        <w:t xml:space="preserve"> dans son Pilier 2 consacré au partenariat Douane-Entreprise, le Statut d’Opérateur agréé pour les entreprises qui contribuent à la sécurisation de la chaîne logistique internationale et qui, à ce titre, doivent bénéficier de facilitations douanières. Cette orientation a été reprise et renforcée à l’article 7.7 de l’Accord sur la Facilitation des Échanges (AFE) que le Sénégal a ratifié en septembre 2016.</w:t>
      </w:r>
    </w:p>
    <w:p w:rsidR="00ED6BCB" w:rsidRDefault="00ED6BCB" w:rsidP="00ED6BCB">
      <w:pPr>
        <w:spacing w:line="276" w:lineRule="auto"/>
        <w:jc w:val="both"/>
        <w:rPr>
          <w:rFonts w:ascii="Tahoma" w:eastAsia="Tahoma" w:hAnsi="Tahoma" w:cs="Tahoma"/>
        </w:rPr>
      </w:pPr>
      <w:r w:rsidRPr="00F56D8E">
        <w:rPr>
          <w:rFonts w:ascii="Tahoma" w:eastAsia="Tahoma" w:hAnsi="Tahoma" w:cs="Tahoma"/>
        </w:rPr>
        <w:t xml:space="preserve">A ce jour, une quarantaine d’entreprises </w:t>
      </w:r>
      <w:r w:rsidRPr="00675E8F">
        <w:rPr>
          <w:rFonts w:ascii="Tahoma" w:eastAsia="Tahoma" w:hAnsi="Tahoma" w:cs="Tahoma"/>
        </w:rPr>
        <w:t>sont agréées audit programme.</w:t>
      </w:r>
      <w:r>
        <w:rPr>
          <w:rFonts w:ascii="Tahoma" w:eastAsia="Tahoma" w:hAnsi="Tahoma" w:cs="Tahoma"/>
        </w:rPr>
        <w:t xml:space="preserve"> Les Entreprises ainsi agréées </w:t>
      </w:r>
      <w:r w:rsidRPr="00675E8F">
        <w:rPr>
          <w:rFonts w:ascii="Tahoma" w:eastAsia="Tahoma" w:hAnsi="Tahoma" w:cs="Tahoma"/>
        </w:rPr>
        <w:t xml:space="preserve">bénéficient de </w:t>
      </w:r>
      <w:r>
        <w:rPr>
          <w:rFonts w:ascii="Tahoma" w:eastAsia="Tahoma" w:hAnsi="Tahoma" w:cs="Tahoma"/>
        </w:rPr>
        <w:t>plusieurs avantages (voir Agrément et Décision).</w:t>
      </w:r>
    </w:p>
    <w:p w:rsidR="00ED6BCB" w:rsidRPr="005134C5" w:rsidRDefault="00ED6BCB" w:rsidP="00ED6BCB">
      <w:pPr>
        <w:spacing w:line="276" w:lineRule="auto"/>
        <w:jc w:val="both"/>
        <w:rPr>
          <w:rFonts w:ascii="Tahoma" w:eastAsia="Tahoma" w:hAnsi="Tahoma" w:cs="Tahoma"/>
        </w:rPr>
      </w:pPr>
      <w:r w:rsidRPr="005134C5">
        <w:rPr>
          <w:rFonts w:ascii="Tahoma" w:eastAsia="Tahoma" w:hAnsi="Tahoma" w:cs="Tahoma"/>
        </w:rPr>
        <w:t>La mise en œuvre de ce programme a permis à l’Administration des Douanes d’enregistrer, dans le domaine de la facilitation des échanges, d’importants résultats qui se traduisent par un meilleur accompagnement des opérateurs et une amélioration de la sécurisation des recettes.</w:t>
      </w:r>
    </w:p>
    <w:p w:rsidR="00ED6BCB" w:rsidRDefault="00ED6BCB" w:rsidP="00ED6BCB">
      <w:pPr>
        <w:spacing w:line="276" w:lineRule="auto"/>
        <w:jc w:val="both"/>
        <w:rPr>
          <w:rFonts w:ascii="Tahoma" w:eastAsia="Tahoma" w:hAnsi="Tahoma" w:cs="Tahoma"/>
        </w:rPr>
      </w:pPr>
      <w:r>
        <w:rPr>
          <w:rFonts w:ascii="Tahoma" w:eastAsia="Tahoma" w:hAnsi="Tahoma" w:cs="Tahoma"/>
        </w:rPr>
        <w:t xml:space="preserve">Après </w:t>
      </w:r>
      <w:r w:rsidRPr="00675E8F">
        <w:rPr>
          <w:rFonts w:ascii="Tahoma" w:eastAsia="Tahoma" w:hAnsi="Tahoma" w:cs="Tahoma"/>
        </w:rPr>
        <w:t>13 ans d’existence</w:t>
      </w:r>
      <w:r w:rsidRPr="005134C5">
        <w:rPr>
          <w:rFonts w:ascii="Tahoma" w:eastAsia="Tahoma" w:hAnsi="Tahoma" w:cs="Tahoma"/>
        </w:rPr>
        <w:t xml:space="preserve"> le renforcement de cet instrument de partenariat </w:t>
      </w:r>
      <w:r>
        <w:rPr>
          <w:rFonts w:ascii="Tahoma" w:eastAsia="Tahoma" w:hAnsi="Tahoma" w:cs="Tahoma"/>
        </w:rPr>
        <w:t>était devenu</w:t>
      </w:r>
      <w:r w:rsidRPr="005134C5">
        <w:rPr>
          <w:rFonts w:ascii="Tahoma" w:eastAsia="Tahoma" w:hAnsi="Tahoma" w:cs="Tahoma"/>
        </w:rPr>
        <w:t xml:space="preserve"> un impératif.</w:t>
      </w:r>
      <w:r>
        <w:rPr>
          <w:rFonts w:ascii="Tahoma" w:eastAsia="Tahoma" w:hAnsi="Tahoma" w:cs="Tahoma"/>
        </w:rPr>
        <w:t xml:space="preserve"> Ce, </w:t>
      </w:r>
      <w:r w:rsidRPr="005134C5">
        <w:rPr>
          <w:rFonts w:ascii="Tahoma" w:eastAsia="Tahoma" w:hAnsi="Tahoma" w:cs="Tahoma"/>
        </w:rPr>
        <w:t>pour consolider les acquis du PPP et faire face aux nouveaux défis sur le plan sécuritaire, tout en apportant, par une démarche qualité, des réponses mieux adaptées aux besoins des partenaires</w:t>
      </w:r>
      <w:r>
        <w:rPr>
          <w:rFonts w:ascii="Tahoma" w:eastAsia="Tahoma" w:hAnsi="Tahoma" w:cs="Tahoma"/>
        </w:rPr>
        <w:t>.</w:t>
      </w:r>
    </w:p>
    <w:p w:rsidR="00ED6BCB" w:rsidRPr="005134C5" w:rsidRDefault="00ED6BCB" w:rsidP="00ED6BCB">
      <w:pPr>
        <w:spacing w:line="276" w:lineRule="auto"/>
        <w:jc w:val="both"/>
        <w:rPr>
          <w:rFonts w:ascii="Tahoma" w:eastAsia="Tahoma" w:hAnsi="Tahoma" w:cs="Tahoma"/>
        </w:rPr>
      </w:pPr>
      <w:r w:rsidRPr="005134C5">
        <w:rPr>
          <w:rFonts w:ascii="Tahoma" w:eastAsia="Tahoma" w:hAnsi="Tahoma" w:cs="Tahoma"/>
        </w:rPr>
        <w:t>C’est pourquoi</w:t>
      </w:r>
      <w:r>
        <w:rPr>
          <w:rFonts w:ascii="Tahoma" w:eastAsia="Tahoma" w:hAnsi="Tahoma" w:cs="Tahoma"/>
        </w:rPr>
        <w:t>,</w:t>
      </w:r>
      <w:r w:rsidRPr="005134C5">
        <w:rPr>
          <w:rFonts w:ascii="Tahoma" w:eastAsia="Tahoma" w:hAnsi="Tahoma" w:cs="Tahoma"/>
        </w:rPr>
        <w:t xml:space="preserve"> le Directeur général des Douanes</w:t>
      </w:r>
      <w:r>
        <w:rPr>
          <w:rFonts w:ascii="Tahoma" w:eastAsia="Tahoma" w:hAnsi="Tahoma" w:cs="Tahoma"/>
        </w:rPr>
        <w:t>,</w:t>
      </w:r>
      <w:r w:rsidRPr="005134C5">
        <w:rPr>
          <w:rFonts w:ascii="Tahoma" w:eastAsia="Tahoma" w:hAnsi="Tahoma" w:cs="Tahoma"/>
        </w:rPr>
        <w:t xml:space="preserve"> qui place le partenariat mutuellement bénéfique au cœur de sa stratégie</w:t>
      </w:r>
      <w:r>
        <w:rPr>
          <w:rFonts w:ascii="Tahoma" w:eastAsia="Tahoma" w:hAnsi="Tahoma" w:cs="Tahoma"/>
        </w:rPr>
        <w:t>,</w:t>
      </w:r>
      <w:r w:rsidRPr="005134C5">
        <w:rPr>
          <w:rFonts w:ascii="Tahoma" w:eastAsia="Tahoma" w:hAnsi="Tahoma" w:cs="Tahoma"/>
        </w:rPr>
        <w:t xml:space="preserve"> a</w:t>
      </w:r>
      <w:r>
        <w:rPr>
          <w:rFonts w:ascii="Tahoma" w:eastAsia="Tahoma" w:hAnsi="Tahoma" w:cs="Tahoma"/>
        </w:rPr>
        <w:t xml:space="preserve"> institué, </w:t>
      </w:r>
      <w:r w:rsidRPr="005134C5">
        <w:rPr>
          <w:rFonts w:ascii="Tahoma" w:eastAsia="Tahoma" w:hAnsi="Tahoma" w:cs="Tahoma"/>
        </w:rPr>
        <w:t xml:space="preserve">par décision </w:t>
      </w:r>
      <w:r w:rsidRPr="005134C5">
        <w:rPr>
          <w:rFonts w:ascii="Tahoma" w:hAnsi="Tahoma" w:cs="Tahoma"/>
        </w:rPr>
        <w:t>n° 02705/MEFP/DGD du 27 mars 2024</w:t>
      </w:r>
      <w:r>
        <w:rPr>
          <w:rFonts w:ascii="Tahoma" w:hAnsi="Tahoma" w:cs="Tahoma"/>
        </w:rPr>
        <w:t>,</w:t>
      </w:r>
      <w:r w:rsidRPr="005134C5">
        <w:rPr>
          <w:rFonts w:ascii="Tahoma" w:eastAsia="Tahoma" w:hAnsi="Tahoma" w:cs="Tahoma"/>
        </w:rPr>
        <w:t xml:space="preserve"> un nouveau programme </w:t>
      </w:r>
      <w:r>
        <w:rPr>
          <w:rFonts w:ascii="Tahoma" w:eastAsia="Tahoma" w:hAnsi="Tahoma" w:cs="Tahoma"/>
        </w:rPr>
        <w:t xml:space="preserve">dénommé </w:t>
      </w:r>
      <w:r w:rsidRPr="005134C5">
        <w:rPr>
          <w:rFonts w:ascii="Tahoma" w:hAnsi="Tahoma" w:cs="Tahoma"/>
        </w:rPr>
        <w:t>Opérateur économique agréé</w:t>
      </w:r>
      <w:r w:rsidRPr="005134C5">
        <w:rPr>
          <w:rFonts w:ascii="Tahoma" w:eastAsia="Tahoma" w:hAnsi="Tahoma" w:cs="Tahoma"/>
        </w:rPr>
        <w:t xml:space="preserve"> en remplacement du PPP</w:t>
      </w:r>
      <w:r>
        <w:rPr>
          <w:rFonts w:ascii="Tahoma" w:eastAsia="Tahoma" w:hAnsi="Tahoma" w:cs="Tahoma"/>
        </w:rPr>
        <w:t xml:space="preserve">. </w:t>
      </w:r>
    </w:p>
    <w:p w:rsidR="00ED6BCB" w:rsidRPr="005134C5" w:rsidRDefault="00ED6BCB" w:rsidP="00ED6BCB">
      <w:pPr>
        <w:spacing w:line="276" w:lineRule="auto"/>
        <w:jc w:val="both"/>
        <w:rPr>
          <w:rFonts w:ascii="Tahoma" w:eastAsia="Tahoma" w:hAnsi="Tahoma" w:cs="Tahoma"/>
        </w:rPr>
      </w:pPr>
      <w:r w:rsidRPr="005134C5">
        <w:rPr>
          <w:rFonts w:ascii="Tahoma" w:eastAsia="Tahoma" w:hAnsi="Tahoma" w:cs="Tahoma"/>
        </w:rPr>
        <w:t xml:space="preserve">Fort de l’impact positif que le programme OEA peut avoir sur notre économie et considérant que cette année est consacrée par l’OMD comme celle du Partenariat, le </w:t>
      </w:r>
      <w:r>
        <w:rPr>
          <w:rFonts w:ascii="Tahoma" w:eastAsia="Tahoma" w:hAnsi="Tahoma" w:cs="Tahoma"/>
        </w:rPr>
        <w:t>Dr Mbaye NDIAYE</w:t>
      </w:r>
      <w:r w:rsidRPr="005134C5">
        <w:rPr>
          <w:rFonts w:ascii="Tahoma" w:eastAsia="Tahoma" w:hAnsi="Tahoma" w:cs="Tahoma"/>
        </w:rPr>
        <w:t xml:space="preserve"> a décidé, dans le cadre du lancement de la phase pilote du Programme, d’agréer au statut d’OEA :</w:t>
      </w:r>
    </w:p>
    <w:p w:rsidR="00ED6BCB" w:rsidRPr="005134C5" w:rsidRDefault="00ED6BCB" w:rsidP="00ED6BCB">
      <w:pPr>
        <w:pStyle w:val="Paragraphedeliste"/>
        <w:numPr>
          <w:ilvl w:val="0"/>
          <w:numId w:val="1"/>
        </w:numPr>
        <w:spacing w:line="276" w:lineRule="auto"/>
        <w:jc w:val="both"/>
        <w:rPr>
          <w:rFonts w:ascii="Tahoma" w:eastAsia="Tahoma" w:hAnsi="Tahoma" w:cs="Tahoma"/>
        </w:rPr>
      </w:pPr>
      <w:r w:rsidRPr="005134C5">
        <w:rPr>
          <w:rFonts w:ascii="Tahoma" w:eastAsia="Tahoma" w:hAnsi="Tahoma" w:cs="Tahoma"/>
        </w:rPr>
        <w:t xml:space="preserve"> </w:t>
      </w:r>
      <w:proofErr w:type="gramStart"/>
      <w:r w:rsidRPr="005134C5">
        <w:rPr>
          <w:rFonts w:ascii="Tahoma" w:eastAsia="Tahoma" w:hAnsi="Tahoma" w:cs="Tahoma"/>
        </w:rPr>
        <w:t>les</w:t>
      </w:r>
      <w:proofErr w:type="gramEnd"/>
      <w:r w:rsidRPr="005134C5">
        <w:rPr>
          <w:rFonts w:ascii="Tahoma" w:eastAsia="Tahoma" w:hAnsi="Tahoma" w:cs="Tahoma"/>
        </w:rPr>
        <w:t xml:space="preserve"> 4</w:t>
      </w:r>
      <w:r w:rsidRPr="00F56D8E">
        <w:rPr>
          <w:rFonts w:ascii="Tahoma" w:eastAsia="Tahoma" w:hAnsi="Tahoma" w:cs="Tahoma"/>
        </w:rPr>
        <w:t>1</w:t>
      </w:r>
      <w:r w:rsidRPr="005134C5">
        <w:rPr>
          <w:rFonts w:ascii="Tahoma" w:eastAsia="Tahoma" w:hAnsi="Tahoma" w:cs="Tahoma"/>
        </w:rPr>
        <w:t xml:space="preserve"> entreprises bénéficiaires du PPP ; ainsi que</w:t>
      </w:r>
    </w:p>
    <w:p w:rsidR="00B60C05" w:rsidRPr="00ED6BCB" w:rsidRDefault="00ED6BCB" w:rsidP="00ED6BCB">
      <w:pPr>
        <w:pStyle w:val="Paragraphedeliste"/>
        <w:numPr>
          <w:ilvl w:val="0"/>
          <w:numId w:val="1"/>
        </w:numPr>
        <w:spacing w:line="276" w:lineRule="auto"/>
        <w:jc w:val="both"/>
        <w:rPr>
          <w:rFonts w:ascii="Tahoma" w:eastAsia="Tahoma" w:hAnsi="Tahoma" w:cs="Tahoma"/>
        </w:rPr>
      </w:pPr>
      <w:r w:rsidRPr="005134C5">
        <w:rPr>
          <w:rFonts w:ascii="Tahoma" w:eastAsia="Tahoma" w:hAnsi="Tahoma" w:cs="Tahoma"/>
        </w:rPr>
        <w:t xml:space="preserve"> </w:t>
      </w:r>
      <w:r>
        <w:rPr>
          <w:rFonts w:ascii="Tahoma" w:eastAsia="Tahoma" w:hAnsi="Tahoma" w:cs="Tahoma"/>
        </w:rPr>
        <w:t>26</w:t>
      </w:r>
      <w:r w:rsidRPr="005134C5">
        <w:rPr>
          <w:rFonts w:ascii="Tahoma" w:eastAsia="Tahoma" w:hAnsi="Tahoma" w:cs="Tahoma"/>
        </w:rPr>
        <w:t xml:space="preserve"> entreprises formelles identifiées comme étant les plus grands pourvoyeurs de recettes durant les cinq (05) dernières années et présentant un haut niveau de conformité à la réglementation.</w:t>
      </w:r>
    </w:p>
    <w:sectPr w:rsidR="00B60C05" w:rsidRPr="00ED6BCB" w:rsidSect="00F32D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6104C"/>
    <w:multiLevelType w:val="hybridMultilevel"/>
    <w:tmpl w:val="E54637F0"/>
    <w:lvl w:ilvl="0" w:tplc="6CE0293E">
      <w:numFmt w:val="bullet"/>
      <w:lvlText w:val="-"/>
      <w:lvlJc w:val="left"/>
      <w:pPr>
        <w:ind w:left="1440" w:hanging="360"/>
      </w:pPr>
      <w:rPr>
        <w:rFonts w:ascii="Arial Narrow" w:eastAsiaTheme="minorHAnsi" w:hAnsi="Arial Narrow"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16cid:durableId="50293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CB"/>
    <w:rsid w:val="00350496"/>
    <w:rsid w:val="00ED6BCB"/>
    <w:rsid w:val="00F32D86"/>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ecimalSymbol w:val=","/>
  <w:listSeparator w:val=";"/>
  <w14:docId w14:val="091E5497"/>
  <w15:chartTrackingRefBased/>
  <w15:docId w15:val="{139217E6-C907-834D-A48C-8F7E4AE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CB"/>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D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2032</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2024-06-14T15:35:00Z</dcterms:created>
  <dcterms:modified xsi:type="dcterms:W3CDTF">2024-06-14T15:36:00Z</dcterms:modified>
</cp:coreProperties>
</file>